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E3DD3AB" w14:textId="77777777" w:rsidR="008A02CC" w:rsidRDefault="00136817" w:rsidP="00136817">
      <w:pPr>
        <w:jc w:val="center"/>
        <w:rPr>
          <w:rFonts w:ascii="Times New Roman" w:hAnsi="Times New Roman" w:cs="Times New Roman"/>
          <w:b/>
          <w:sz w:val="28"/>
        </w:rPr>
      </w:pPr>
      <w:r w:rsidRPr="00243264">
        <w:rPr>
          <w:rFonts w:ascii="Times New Roman" w:hAnsi="Times New Roman" w:cs="Times New Roman"/>
          <w:b/>
          <w:sz w:val="28"/>
        </w:rPr>
        <w:t>POZIV NA DODJELU BESPOVRATNIH SREDSTAVA</w:t>
      </w:r>
      <w:r w:rsidRPr="00243264" w:rsidDel="006033F3">
        <w:rPr>
          <w:rFonts w:ascii="Times New Roman" w:hAnsi="Times New Roman" w:cs="Times New Roman"/>
          <w:b/>
          <w:sz w:val="28"/>
        </w:rPr>
        <w:t xml:space="preserve"> </w:t>
      </w:r>
    </w:p>
    <w:p w14:paraId="28154BAF" w14:textId="019212DC" w:rsidR="00136817" w:rsidRPr="00243264" w:rsidRDefault="00E42BA4" w:rsidP="00136817">
      <w:pPr>
        <w:jc w:val="center"/>
        <w:rPr>
          <w:rFonts w:ascii="Times New Roman" w:hAnsi="Times New Roman" w:cs="Times New Roman"/>
          <w:b/>
          <w:sz w:val="28"/>
        </w:rPr>
      </w:pPr>
      <w:r>
        <w:rPr>
          <w:rFonts w:ascii="Times New Roman" w:eastAsiaTheme="minorEastAsia" w:hAnsi="Times New Roman" w:cs="Times New Roman"/>
          <w:b/>
          <w:bCs/>
          <w:color w:val="171796"/>
          <w:sz w:val="28"/>
          <w:szCs w:val="40"/>
          <w:lang w:eastAsia="hr-HR"/>
        </w:rPr>
        <w:t>PODRŠKA TRANSFERU TEHNOLOGIJE</w:t>
      </w:r>
    </w:p>
    <w:p w14:paraId="2030CCF7" w14:textId="77777777" w:rsidR="00FB458A" w:rsidRPr="00FB458A" w:rsidRDefault="00FB458A" w:rsidP="00FB458A">
      <w:pPr>
        <w:spacing w:before="0" w:after="0"/>
        <w:jc w:val="center"/>
        <w:rPr>
          <w:rFonts w:ascii="Times New Roman" w:eastAsia="Calibri" w:hAnsi="Times New Roman" w:cs="Times New Roman"/>
          <w:b/>
          <w:color w:val="0070C0"/>
          <w:sz w:val="24"/>
          <w:szCs w:val="24"/>
        </w:rPr>
      </w:pPr>
      <w:r w:rsidRPr="00FB458A">
        <w:rPr>
          <w:rFonts w:ascii="Times New Roman" w:eastAsia="Calibri" w:hAnsi="Times New Roman" w:cs="Times New Roman"/>
          <w:b/>
          <w:sz w:val="24"/>
          <w:szCs w:val="24"/>
        </w:rPr>
        <w:t>(</w:t>
      </w:r>
      <w:r w:rsidRPr="00FB458A">
        <w:rPr>
          <w:rFonts w:ascii="Times New Roman" w:eastAsia="Calibri" w:hAnsi="Times New Roman" w:cs="Times New Roman"/>
          <w:b/>
          <w:i/>
          <w:sz w:val="24"/>
          <w:szCs w:val="24"/>
        </w:rPr>
        <w:t xml:space="preserve">referentni broj: </w:t>
      </w:r>
      <w:r w:rsidRPr="00FB458A">
        <w:rPr>
          <w:rFonts w:ascii="Times New Roman" w:eastAsia="Calibri" w:hAnsi="Times New Roman" w:cs="Times New Roman"/>
          <w:b/>
          <w:i/>
          <w:color w:val="000000"/>
          <w:sz w:val="24"/>
          <w:szCs w:val="17"/>
          <w:lang w:val="en-US"/>
        </w:rPr>
        <w:t>C3.2.R3-I1.02</w:t>
      </w:r>
      <w:r w:rsidRPr="00FB458A">
        <w:rPr>
          <w:rFonts w:ascii="Times New Roman" w:eastAsia="Calibri" w:hAnsi="Times New Roman" w:cs="Times New Roman"/>
          <w:b/>
          <w:i/>
          <w:sz w:val="24"/>
          <w:szCs w:val="24"/>
        </w:rPr>
        <w:t>)</w:t>
      </w:r>
    </w:p>
    <w:p w14:paraId="65E21B9C" w14:textId="77777777" w:rsidR="00136817" w:rsidRPr="002B2B9B" w:rsidRDefault="00136817" w:rsidP="00136817">
      <w:pPr>
        <w:jc w:val="center"/>
        <w:rPr>
          <w:rFonts w:ascii="Times New Roman" w:hAnsi="Times New Roman" w:cs="Times New Roman"/>
          <w:b/>
          <w:sz w:val="24"/>
        </w:rPr>
      </w:pPr>
      <w:bookmarkStart w:id="0" w:name="_GoBack"/>
      <w:bookmarkEnd w:id="0"/>
    </w:p>
    <w:p w14:paraId="2E4A0A09" w14:textId="1A16CEA3" w:rsidR="00136817" w:rsidRPr="00243264" w:rsidRDefault="00D211AF" w:rsidP="00136817">
      <w:pPr>
        <w:tabs>
          <w:tab w:val="left" w:pos="1257"/>
        </w:tabs>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PRILOG 6</w:t>
      </w:r>
      <w:r w:rsidR="00136817" w:rsidRPr="00243264">
        <w:rPr>
          <w:rFonts w:ascii="Times New Roman" w:eastAsiaTheme="minorEastAsia" w:hAnsi="Times New Roman" w:cs="Times New Roman"/>
          <w:b/>
          <w:bCs/>
          <w:color w:val="171796"/>
          <w:sz w:val="28"/>
          <w:szCs w:val="40"/>
          <w:lang w:eastAsia="hr-HR"/>
        </w:rPr>
        <w:t xml:space="preserve">. </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 xml:space="preserve">je instrument kojim se nakon što je nadležno tijelo utvrdilo nepravilnost koju je počinio korisnik i/ili partner korisnika troškovi predviđeni ugovorom o </w:t>
      </w:r>
      <w:r w:rsidR="004859D9" w:rsidRPr="004859D9">
        <w:rPr>
          <w:rFonts w:ascii="Times New Roman" w:eastAsia="Times New Roman" w:hAnsi="Times New Roman" w:cs="Times New Roman"/>
          <w:sz w:val="24"/>
          <w:szCs w:val="24"/>
          <w:lang w:eastAsia="hr-HR"/>
        </w:rPr>
        <w:lastRenderedPageBreak/>
        <w:t>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 xml:space="preserve">/podkomponentu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/podkomponentu</w:t>
      </w:r>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136817">
      <w:pPr>
        <w:pStyle w:val="Footer"/>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ABA361C" w:rsidR="00E42BA4" w:rsidRDefault="00E42BA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3090"/>
        <w:gridCol w:w="3299"/>
        <w:gridCol w:w="2243"/>
      </w:tblGrid>
      <w:tr w:rsidR="00FC52CB" w:rsidRPr="00DC1AD5" w14:paraId="50126974" w14:textId="77777777" w:rsidTr="00E42BA4">
        <w:trPr>
          <w:tblHeader/>
        </w:trPr>
        <w:tc>
          <w:tcPr>
            <w:tcW w:w="0" w:type="auto"/>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0" w:type="auto"/>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0" w:type="auto"/>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0" w:type="auto"/>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E42BA4">
        <w:tc>
          <w:tcPr>
            <w:tcW w:w="0" w:type="auto"/>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E42BA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0" w:type="auto"/>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lastRenderedPageBreak/>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E42BA4">
        <w:tc>
          <w:tcPr>
            <w:tcW w:w="0" w:type="auto"/>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0" w:type="auto"/>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0" w:type="auto"/>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E42BA4">
        <w:tc>
          <w:tcPr>
            <w:tcW w:w="0" w:type="auto"/>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0" w:type="auto"/>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gospodarski subjekt koji se nalazi u drugoj državi članici imao pristup odgovarajućim informacijama </w:t>
            </w:r>
            <w:r w:rsidRPr="005B25F1">
              <w:rPr>
                <w:rFonts w:ascii="Times New Roman" w:eastAsia="Calibri" w:hAnsi="Times New Roman" w:cs="Times New Roman"/>
                <w:sz w:val="20"/>
                <w:szCs w:val="20"/>
              </w:rPr>
              <w:lastRenderedPageBreak/>
              <w:t>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E42BA4">
        <w:tc>
          <w:tcPr>
            <w:tcW w:w="0" w:type="auto"/>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0" w:type="auto"/>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0" w:type="auto"/>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E42BA4">
        <w:tc>
          <w:tcPr>
            <w:tcW w:w="0" w:type="auto"/>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0" w:type="auto"/>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0" w:type="auto"/>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E42BA4">
        <w:tc>
          <w:tcPr>
            <w:tcW w:w="0" w:type="auto"/>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0" w:type="auto"/>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0" w:type="auto"/>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E42BA4">
        <w:tc>
          <w:tcPr>
            <w:tcW w:w="0" w:type="auto"/>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E42BA4">
        <w:tc>
          <w:tcPr>
            <w:tcW w:w="0" w:type="auto"/>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E42BA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lastRenderedPageBreak/>
              <w:t xml:space="preserve">Rok koji potencijalni ponuditelji/natjecatelji imaju za dobivanje dokumentacije o nabavi je 5 dana ili manje (u skladu s relevantnim odredbama)  ili u slučaju kada javni naručitelj nije omogućio, </w:t>
            </w:r>
            <w:r w:rsidRPr="004E7AB3">
              <w:rPr>
                <w:rFonts w:ascii="Times New Roman" w:hAnsi="Times New Roman" w:cs="Times New Roman"/>
                <w:sz w:val="20"/>
                <w:szCs w:val="20"/>
              </w:rPr>
              <w:lastRenderedPageBreak/>
              <w:t>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0" w:type="auto"/>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E42BA4">
        <w:tc>
          <w:tcPr>
            <w:tcW w:w="0" w:type="auto"/>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0" w:type="auto"/>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E42BA4">
        <w:tc>
          <w:tcPr>
            <w:tcW w:w="0" w:type="auto"/>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0" w:type="auto"/>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Inicijalni rokovi za zaprimanje ponuda odnosno zahtjeva za sudjelovanje su bili određeni sukladno primjenjivim pravilima, potom su naknadno produljeni, ali informacija o njihovom produljenju nije odgovarajuće </w:t>
            </w:r>
            <w:r w:rsidRPr="00182B1F">
              <w:rPr>
                <w:rFonts w:ascii="Times New Roman" w:eastAsia="Calibri" w:hAnsi="Times New Roman" w:cs="Times New Roman"/>
                <w:sz w:val="20"/>
                <w:szCs w:val="20"/>
              </w:rPr>
              <w:lastRenderedPageBreak/>
              <w:t>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lastRenderedPageBreak/>
              <w:t>5% od ugovorenog iznosa, odnosno 2% u iznimnim i opravdanim slučajevima</w:t>
            </w:r>
          </w:p>
        </w:tc>
      </w:tr>
      <w:tr w:rsidR="0096073E" w:rsidRPr="00DC1AD5" w14:paraId="0DC5CCD3" w14:textId="77777777" w:rsidTr="00E42BA4">
        <w:tc>
          <w:tcPr>
            <w:tcW w:w="0" w:type="auto"/>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0" w:type="auto"/>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0" w:type="auto"/>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E42BA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c) objašnjenja i dodatne informacije (/kriterije za odabir ponude) od strane </w:t>
            </w:r>
            <w:r w:rsidRPr="00925C40">
              <w:rPr>
                <w:rFonts w:ascii="Times New Roman" w:hAnsi="Times New Roman" w:cs="Times New Roman"/>
                <w:sz w:val="20"/>
                <w:szCs w:val="20"/>
              </w:rPr>
              <w:lastRenderedPageBreak/>
              <w:t>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w:t>
            </w:r>
            <w:r w:rsidRPr="005C7ECF">
              <w:rPr>
                <w:rFonts w:ascii="Times New Roman" w:eastAsia="Calibri" w:hAnsi="Times New Roman" w:cs="Times New Roman"/>
                <w:sz w:val="20"/>
                <w:szCs w:val="20"/>
              </w:rPr>
              <w:lastRenderedPageBreak/>
              <w:t>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nastan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0" w:type="auto"/>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E42BA4">
        <w:tc>
          <w:tcPr>
            <w:tcW w:w="0" w:type="auto"/>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0" w:type="auto"/>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0" w:type="auto"/>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financijsku sposobnost (npr. godišnji promet) od ponuditelja, a tražena financijska sposobnost nije razmjerna </w:t>
            </w:r>
            <w:r w:rsidRPr="00433D7E">
              <w:rPr>
                <w:rFonts w:ascii="Times New Roman" w:eastAsia="Calibri" w:hAnsi="Times New Roman" w:cs="Times New Roman"/>
                <w:sz w:val="20"/>
                <w:szCs w:val="20"/>
              </w:rPr>
              <w:lastRenderedPageBreak/>
              <w:t>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w:t>
            </w:r>
            <w:r w:rsidRPr="00433D7E">
              <w:rPr>
                <w:rFonts w:ascii="Times New Roman" w:eastAsia="Calibri" w:hAnsi="Times New Roman" w:cs="Times New Roman"/>
                <w:sz w:val="20"/>
                <w:szCs w:val="20"/>
              </w:rPr>
              <w:lastRenderedPageBreak/>
              <w:t>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75300438" w14:textId="77894D3A" w:rsidR="0096073E" w:rsidRPr="00136817" w:rsidRDefault="0096073E" w:rsidP="00E42BA4">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slučajevi kad se navode norme osiguranja kvalitete pri čemu je iz DoN-a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tc>
        <w:tc>
          <w:tcPr>
            <w:tcW w:w="0" w:type="auto"/>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w:t>
            </w:r>
            <w:r w:rsidR="0096073E" w:rsidRPr="00211415">
              <w:rPr>
                <w:rFonts w:ascii="Times New Roman" w:eastAsia="Calibri" w:hAnsi="Times New Roman" w:cs="Times New Roman"/>
                <w:sz w:val="20"/>
                <w:szCs w:val="20"/>
              </w:rPr>
              <w:lastRenderedPageBreak/>
              <w:t>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ako je unatoč odvraćajućem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(npr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0" w:type="auto"/>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 xml:space="preserve">nužne i obvezne te za koje je, stoga, izvjesno da im mogu </w:t>
            </w:r>
            <w:r w:rsidR="00360C3C" w:rsidRPr="00360C3C">
              <w:rPr>
                <w:rFonts w:ascii="Times New Roman" w:eastAsia="Calibri" w:hAnsi="Times New Roman" w:cs="Times New Roman"/>
                <w:sz w:val="20"/>
                <w:szCs w:val="20"/>
              </w:rPr>
              <w:lastRenderedPageBreak/>
              <w:t>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E42BA4">
        <w:tc>
          <w:tcPr>
            <w:tcW w:w="0" w:type="auto"/>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E42BA4">
        <w:tc>
          <w:tcPr>
            <w:tcW w:w="0" w:type="auto"/>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0" w:type="auto"/>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iznimnim i opravdanim slučajevima moguće je, uz „case by case“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sukladnost ponude sa uvjetima iz DoN-a</w:t>
            </w:r>
            <w:r w:rsidRPr="00A9738A">
              <w:rPr>
                <w:rFonts w:ascii="Times New Roman" w:eastAsia="Calibri" w:hAnsi="Times New Roman" w:cs="Times New Roman"/>
                <w:sz w:val="20"/>
                <w:szCs w:val="20"/>
              </w:rPr>
              <w:t xml:space="preserve"> u trenutku provedbe postupka javne </w:t>
            </w:r>
            <w:r w:rsidRPr="00A9738A">
              <w:rPr>
                <w:rFonts w:ascii="Times New Roman" w:eastAsia="Calibri" w:hAnsi="Times New Roman" w:cs="Times New Roman"/>
                <w:sz w:val="20"/>
                <w:szCs w:val="20"/>
              </w:rPr>
              <w:lastRenderedPageBreak/>
              <w:t>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a sukladnost ponude sa uvjetima iz DoN-a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sukladnost ponude sa uvjetima iz DoN-a,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0" w:type="auto"/>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Ukoliko stavke troškovnika zahvaćene nepravilnošću čine manje od 5% ukupne vrijednosti ugovora o nabavi, u iznimnim i opravdanim slučajevima, moguće je odstupiti od razine financijske korekcije zadane u ovim Pravilima</w:t>
            </w:r>
          </w:p>
        </w:tc>
      </w:tr>
      <w:tr w:rsidR="00FC52CB" w:rsidRPr="00DC1AD5" w14:paraId="6727BEBA"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0" w:type="auto"/>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0" w:type="auto"/>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E42BA4">
        <w:tc>
          <w:tcPr>
            <w:tcW w:w="0" w:type="auto"/>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0" w:type="auto"/>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E42BA4">
        <w:tc>
          <w:tcPr>
            <w:tcW w:w="0" w:type="auto"/>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0" w:type="auto"/>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 slučaju provedbe otvorenog ili ograničenog postupka javni naručitelj je pregovarao sa ponuditeljem/ponuditeljima tijekom ocjenjivanja ponuda što je dovelo do značajne modifikacije ugovora u </w:t>
            </w:r>
            <w:r w:rsidRPr="0059240E">
              <w:rPr>
                <w:rFonts w:ascii="Times New Roman" w:eastAsia="Calibri" w:hAnsi="Times New Roman" w:cs="Times New Roman"/>
                <w:sz w:val="20"/>
                <w:szCs w:val="20"/>
              </w:rPr>
              <w:lastRenderedPageBreak/>
              <w:t>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lastRenderedPageBreak/>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0" w:type="auto"/>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0" w:type="auto"/>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38B09425" w14:textId="77777777" w:rsidR="00FC52CB" w:rsidRPr="009F5860" w:rsidRDefault="00FC52CB" w:rsidP="00E42BA4">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E42BA4">
        <w:tc>
          <w:tcPr>
            <w:tcW w:w="0" w:type="auto"/>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0" w:type="auto"/>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E42BA4">
        <w:tc>
          <w:tcPr>
            <w:tcW w:w="0" w:type="auto"/>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0" w:type="auto"/>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0" w:type="auto"/>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59240E">
              <w:rPr>
                <w:rFonts w:ascii="Times New Roman" w:eastAsia="Calibri" w:hAnsi="Times New Roman" w:cs="Times New Roman"/>
                <w:sz w:val="20"/>
                <w:szCs w:val="20"/>
              </w:rPr>
              <w:t>% od ugovorenog iznosa</w:t>
            </w:r>
          </w:p>
        </w:tc>
      </w:tr>
      <w:tr w:rsidR="0059240E" w:rsidRPr="00DC1AD5" w14:paraId="61573AE7" w14:textId="77777777" w:rsidTr="00E42BA4">
        <w:tc>
          <w:tcPr>
            <w:tcW w:w="0" w:type="auto"/>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0" w:type="auto"/>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0" w:type="auto"/>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0" w:type="auto"/>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E42BA4">
        <w:tc>
          <w:tcPr>
            <w:tcW w:w="0" w:type="auto"/>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E42BA4">
        <w:tc>
          <w:tcPr>
            <w:tcW w:w="0" w:type="auto"/>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0" w:type="auto"/>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0" w:type="auto"/>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Izmjena elemenata ugovora uključuje, ali nisu ograničeni na, cijenu, prirodu radova, rok završetka, uvjete plaćanja i korištene materijale. </w:t>
            </w:r>
          </w:p>
        </w:tc>
        <w:tc>
          <w:tcPr>
            <w:tcW w:w="0" w:type="auto"/>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E42BA4">
        <w:tc>
          <w:tcPr>
            <w:tcW w:w="0" w:type="auto"/>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0" w:type="auto"/>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lastRenderedPageBreak/>
              <w:t>4. ako novi ugovaratelj zamijeni onoga kojemu je prvotno javni naručitelj dodijelio ugovor, osim u slučajevima iz članka 318. ovoga Zakona.</w:t>
            </w:r>
          </w:p>
        </w:tc>
        <w:tc>
          <w:tcPr>
            <w:tcW w:w="0" w:type="auto"/>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E42BA4">
        <w:tc>
          <w:tcPr>
            <w:tcW w:w="0" w:type="auto"/>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0" w:type="auto"/>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0" w:type="auto"/>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E42BA4">
        <w:tc>
          <w:tcPr>
            <w:tcW w:w="0" w:type="auto"/>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1810ABEE" w:rsidR="00E42BA4" w:rsidRDefault="00E42BA4">
      <w:pPr>
        <w:rPr>
          <w:rFonts w:ascii="Times New Roman" w:eastAsia="Calibri" w:hAnsi="Times New Roman" w:cs="Times New Roman"/>
          <w:sz w:val="20"/>
          <w:szCs w:val="20"/>
        </w:rPr>
      </w:pPr>
      <w:r>
        <w:rPr>
          <w:rFonts w:ascii="Times New Roman" w:eastAsia="Calibri" w:hAnsi="Times New Roman" w:cs="Times New Roman"/>
          <w:sz w:val="20"/>
          <w:szCs w:val="20"/>
        </w:rPr>
        <w:br w:type="page"/>
      </w: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lastRenderedPageBreak/>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a) Poziv na nadmetanje je objavljen na </w:t>
            </w:r>
            <w:r w:rsidRPr="00DC1AD5">
              <w:rPr>
                <w:rFonts w:ascii="Times New Roman" w:hAnsi="Times New Roman"/>
                <w:sz w:val="20"/>
                <w:szCs w:val="20"/>
              </w:rPr>
              <w:lastRenderedPageBreak/>
              <w:t>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lastRenderedPageBreak/>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lastRenderedPageBreak/>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20DB9AC" w14:textId="0A384F56" w:rsidR="00620D19"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odvraćajućem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(npr ukoliko se uvjet ne odnosi na GS već na stručnjaka, ukoliko se radi o dijelu ugovora koji je sporedne prirode_)</w:t>
            </w: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odvraćajućem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62A71B99" w14:textId="26DEB58E" w:rsidR="00620D19" w:rsidRPr="00DC1AD5" w:rsidRDefault="00620D19" w:rsidP="00E42BA4">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5099C95A" w14:textId="3A1731CF" w:rsidR="00620D19" w:rsidRPr="00DC1AD5" w:rsidRDefault="00620D19" w:rsidP="00E42BA4">
            <w:pPr>
              <w:spacing w:after="240"/>
              <w:jc w:val="both"/>
              <w:rPr>
                <w:rFonts w:ascii="Times New Roman" w:hAnsi="Times New Roman"/>
                <w:strike/>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lastRenderedPageBreak/>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ponuda,povoljniji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lastRenderedPageBreak/>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E42BA4">
        <w:trPr>
          <w:trHeight w:val="70"/>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414628B6" w14:textId="68CF9094"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E42BA4">
        <w:trPr>
          <w:trHeight w:val="757"/>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E42BA4">
        <w:trPr>
          <w:trHeight w:val="150"/>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1C1897B" w14:textId="63930C3C" w:rsidR="00620D19" w:rsidRPr="00621C29" w:rsidRDefault="00620D19" w:rsidP="00E42BA4">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tc>
        <w:tc>
          <w:tcPr>
            <w:tcW w:w="2126" w:type="dxa"/>
            <w:tcBorders>
              <w:top w:val="single" w:sz="4" w:space="0" w:color="auto"/>
              <w:left w:val="single" w:sz="4" w:space="0" w:color="auto"/>
              <w:bottom w:val="single" w:sz="4" w:space="0" w:color="auto"/>
              <w:right w:val="single" w:sz="4" w:space="0" w:color="auto"/>
            </w:tcBorders>
          </w:tcPr>
          <w:p w14:paraId="1372ADEB" w14:textId="400A3B55" w:rsidR="00620D19" w:rsidRPr="00621C29" w:rsidRDefault="00620D19" w:rsidP="00E42BA4">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bCs/>
                <w:sz w:val="20"/>
                <w:szCs w:val="20"/>
              </w:rPr>
              <w:t>100 % korekcija troška na koji se odnosi</w:t>
            </w:r>
          </w:p>
        </w:tc>
      </w:tr>
    </w:tbl>
    <w:p w14:paraId="3361A0BA" w14:textId="77777777" w:rsidR="00E42BA4" w:rsidRDefault="00E42BA4">
      <w:pPr>
        <w:rPr>
          <w:rFonts w:ascii="Times New Roman" w:eastAsia="Calibri" w:hAnsi="Times New Roman" w:cs="Times New Roman"/>
          <w:b/>
        </w:rPr>
      </w:pPr>
      <w:r>
        <w:rPr>
          <w:rFonts w:ascii="Times New Roman" w:eastAsia="Calibri" w:hAnsi="Times New Roman" w:cs="Times New Roman"/>
          <w:b/>
        </w:rPr>
        <w:br w:type="page"/>
      </w: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lastRenderedPageBreak/>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lastRenderedPageBreak/>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DC1AD5">
              <w:rPr>
                <w:rFonts w:ascii="Times New Roman" w:eastAsia="Calibri" w:hAnsi="Times New Roman" w:cs="Times New Roman"/>
                <w:sz w:val="20"/>
                <w:szCs w:val="20"/>
                <w:lang w:eastAsia="ar-SA"/>
              </w:rPr>
              <w:lastRenderedPageBreak/>
              <w:t>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nenanošenja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Korisnik nije poštivao načelo nenanošenja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 xml:space="preserve">“jednake mogućnosti i antidiskriminacija” ili “održivi razvoj”) je vrednovan tijekom postupka odabira projekta (dodjele bespovratnih sredstava), projektni prijedlog je dobio dodatne bodove, a provjera nadležnog tijela pokazuje da dodatni, posebni roba/radovi/usluge nisu </w:t>
            </w:r>
            <w:r w:rsidRPr="00DC1AD5">
              <w:rPr>
                <w:rFonts w:ascii="Times New Roman" w:eastAsia="Calibri" w:hAnsi="Times New Roman" w:cs="Times New Roman"/>
                <w:sz w:val="20"/>
                <w:szCs w:val="20"/>
              </w:rPr>
              <w:lastRenderedPageBreak/>
              <w:t>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w:t>
            </w:r>
            <w:r w:rsidRPr="00DC1AD5">
              <w:rPr>
                <w:rFonts w:ascii="Times New Roman" w:eastAsia="Calibri" w:hAnsi="Times New Roman" w:cs="Times New Roman"/>
                <w:sz w:val="20"/>
                <w:szCs w:val="20"/>
              </w:rPr>
              <w:lastRenderedPageBreak/>
              <w:t xml:space="preserve">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31998BDA" w14:textId="77777777" w:rsidR="0056094F" w:rsidRPr="00C93169" w:rsidRDefault="0056094F" w:rsidP="00E42BA4">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B48D" w14:textId="77777777" w:rsidR="00550094" w:rsidRDefault="00550094" w:rsidP="0056094F">
      <w:pPr>
        <w:spacing w:before="0" w:after="0"/>
      </w:pPr>
      <w:r>
        <w:separator/>
      </w:r>
    </w:p>
  </w:endnote>
  <w:endnote w:type="continuationSeparator" w:id="0">
    <w:p w14:paraId="15ECB244" w14:textId="77777777" w:rsidR="00550094" w:rsidRDefault="00550094" w:rsidP="0056094F">
      <w:pPr>
        <w:spacing w:before="0" w:after="0"/>
      </w:pPr>
      <w:r>
        <w:continuationSeparator/>
      </w:r>
    </w:p>
  </w:endnote>
  <w:endnote w:type="continuationNotice" w:id="1">
    <w:p w14:paraId="1FD405FA" w14:textId="77777777" w:rsidR="00550094" w:rsidRDefault="005500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3770"/>
      <w:docPartObj>
        <w:docPartGallery w:val="Page Numbers (Bottom of Page)"/>
        <w:docPartUnique/>
      </w:docPartObj>
    </w:sdtPr>
    <w:sdtEndPr/>
    <w:sdtContent>
      <w:sdt>
        <w:sdtPr>
          <w:id w:val="1728636285"/>
          <w:docPartObj>
            <w:docPartGallery w:val="Page Numbers (Top of Page)"/>
            <w:docPartUnique/>
          </w:docPartObj>
        </w:sdtPr>
        <w:sdtEndPr/>
        <w:sdtContent>
          <w:p w14:paraId="6B6C438C" w14:textId="09C23434" w:rsidR="009536F1" w:rsidRDefault="009536F1">
            <w:pPr>
              <w:pStyle w:val="Footer"/>
              <w:jc w:val="center"/>
            </w:pPr>
            <w:r w:rsidRPr="009536F1">
              <w:rPr>
                <w:rFonts w:ascii="Times New Roman" w:hAnsi="Times New Roman" w:cs="Times New Roman"/>
                <w:sz w:val="18"/>
                <w:szCs w:val="18"/>
              </w:rPr>
              <w:t xml:space="preserve">Stranica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PAGE </w:instrText>
            </w:r>
            <w:r w:rsidRPr="009536F1">
              <w:rPr>
                <w:rFonts w:ascii="Times New Roman" w:hAnsi="Times New Roman" w:cs="Times New Roman"/>
                <w:bCs/>
                <w:sz w:val="18"/>
                <w:szCs w:val="18"/>
              </w:rPr>
              <w:fldChar w:fldCharType="separate"/>
            </w:r>
            <w:r w:rsidR="00FB458A">
              <w:rPr>
                <w:rFonts w:ascii="Times New Roman" w:hAnsi="Times New Roman" w:cs="Times New Roman"/>
                <w:bCs/>
                <w:noProof/>
                <w:sz w:val="18"/>
                <w:szCs w:val="18"/>
              </w:rPr>
              <w:t>1</w:t>
            </w:r>
            <w:r w:rsidRPr="009536F1">
              <w:rPr>
                <w:rFonts w:ascii="Times New Roman" w:hAnsi="Times New Roman" w:cs="Times New Roman"/>
                <w:bCs/>
                <w:sz w:val="18"/>
                <w:szCs w:val="18"/>
              </w:rPr>
              <w:fldChar w:fldCharType="end"/>
            </w:r>
            <w:r w:rsidRPr="009536F1">
              <w:rPr>
                <w:rFonts w:ascii="Times New Roman" w:hAnsi="Times New Roman" w:cs="Times New Roman"/>
                <w:sz w:val="18"/>
                <w:szCs w:val="18"/>
              </w:rPr>
              <w:t xml:space="preserve"> od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NUMPAGES  </w:instrText>
            </w:r>
            <w:r w:rsidRPr="009536F1">
              <w:rPr>
                <w:rFonts w:ascii="Times New Roman" w:hAnsi="Times New Roman" w:cs="Times New Roman"/>
                <w:bCs/>
                <w:sz w:val="18"/>
                <w:szCs w:val="18"/>
              </w:rPr>
              <w:fldChar w:fldCharType="separate"/>
            </w:r>
            <w:r w:rsidR="00FB458A">
              <w:rPr>
                <w:rFonts w:ascii="Times New Roman" w:hAnsi="Times New Roman" w:cs="Times New Roman"/>
                <w:bCs/>
                <w:noProof/>
                <w:sz w:val="18"/>
                <w:szCs w:val="18"/>
              </w:rPr>
              <w:t>36</w:t>
            </w:r>
            <w:r w:rsidRPr="009536F1">
              <w:rPr>
                <w:rFonts w:ascii="Times New Roman" w:hAnsi="Times New Roman" w:cs="Times New Roman"/>
                <w:bCs/>
                <w:sz w:val="18"/>
                <w:szCs w:val="18"/>
              </w:rPr>
              <w:fldChar w:fldCharType="end"/>
            </w:r>
          </w:p>
        </w:sdtContent>
      </w:sdt>
    </w:sdtContent>
  </w:sdt>
  <w:p w14:paraId="56ADB72D" w14:textId="0801BB8F" w:rsidR="005D3504" w:rsidRDefault="005D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554D" w14:textId="77777777" w:rsidR="00550094" w:rsidRDefault="00550094" w:rsidP="0056094F">
      <w:pPr>
        <w:spacing w:before="0" w:after="0"/>
      </w:pPr>
      <w:r>
        <w:separator/>
      </w:r>
    </w:p>
  </w:footnote>
  <w:footnote w:type="continuationSeparator" w:id="0">
    <w:p w14:paraId="3536AF62" w14:textId="77777777" w:rsidR="00550094" w:rsidRDefault="00550094" w:rsidP="0056094F">
      <w:pPr>
        <w:spacing w:before="0" w:after="0"/>
      </w:pPr>
      <w:r>
        <w:continuationSeparator/>
      </w:r>
    </w:p>
  </w:footnote>
  <w:footnote w:type="continuationNotice" w:id="1">
    <w:p w14:paraId="3E4FBDFF" w14:textId="77777777" w:rsidR="00550094" w:rsidRDefault="00550094">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78EA" w14:textId="4AAECC98" w:rsidR="00C637F9" w:rsidRDefault="00C637F9" w:rsidP="00C637F9">
    <w:pPr>
      <w:tabs>
        <w:tab w:val="center" w:pos="4536"/>
        <w:tab w:val="right" w:pos="9072"/>
      </w:tabs>
      <w:spacing w:after="0"/>
      <w:rPr>
        <w:rFonts w:ascii="Calibri" w:eastAsia="Calibri" w:hAnsi="Calibri" w:cs="Times New Roman"/>
        <w:sz w:val="20"/>
        <w:szCs w:val="20"/>
        <w:lang w:eastAsia="hr-HR"/>
      </w:rPr>
    </w:pPr>
    <w:r>
      <w:rPr>
        <w:rFonts w:ascii="Calibri" w:eastAsia="Calibri" w:hAnsi="Calibri" w:cs="Times New Roman"/>
        <w:noProof/>
        <w:sz w:val="20"/>
        <w:szCs w:val="20"/>
        <w:lang w:eastAsia="hr-HR"/>
      </w:rPr>
      <w:drawing>
        <wp:inline distT="0" distB="0" distL="0" distR="0" wp14:anchorId="0D0FF409" wp14:editId="43A276A7">
          <wp:extent cx="2371725" cy="666750"/>
          <wp:effectExtent l="0" t="0" r="9525"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r>
      <w:rPr>
        <w:rFonts w:ascii="Calibri" w:eastAsia="Calibri" w:hAnsi="Calibri" w:cs="Times New Roman"/>
        <w:sz w:val="20"/>
        <w:szCs w:val="20"/>
        <w:lang w:eastAsia="hr-HR"/>
      </w:rPr>
      <w:t xml:space="preserve">                             </w:t>
    </w:r>
    <w:r>
      <w:rPr>
        <w:rFonts w:ascii="Calibri" w:eastAsia="Calibri" w:hAnsi="Calibri" w:cs="Times New Roman"/>
        <w:noProof/>
        <w:sz w:val="20"/>
        <w:szCs w:val="20"/>
        <w:lang w:eastAsia="hr-HR"/>
      </w:rPr>
      <w:drawing>
        <wp:inline distT="0" distB="0" distL="0" distR="0" wp14:anchorId="3811B577" wp14:editId="79FCD95F">
          <wp:extent cx="2466975" cy="6762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p w14:paraId="7AEA5755" w14:textId="77777777" w:rsidR="00C637F9" w:rsidRDefault="00C63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817"/>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4DF"/>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0DB2"/>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094"/>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2FA"/>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02CC"/>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6F1"/>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BD8"/>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7F9"/>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1AF"/>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2BA4"/>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3464"/>
    <w:rsid w:val="00FB4498"/>
    <w:rsid w:val="00FB455A"/>
    <w:rsid w:val="00FB458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 w:type="character" w:customStyle="1" w:styleId="Bodytext285pt">
    <w:name w:val="Body text (2) + 8;5 pt"/>
    <w:basedOn w:val="DefaultParagraphFont"/>
    <w:rsid w:val="001368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883953771">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558D-3B4A-4C65-A844-3D9E1A47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10250</Words>
  <Characters>58427</Characters>
  <Application>Microsoft Office Word</Application>
  <DocSecurity>0</DocSecurity>
  <Lines>486</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2023-04-11T08:24:00Z</dcterms:modified>
</cp:coreProperties>
</file>